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A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 xml:space="preserve">Sprawozdanie z działalności Komisji 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>Indywidualnych Praktyk Lekarskich</w:t>
      </w:r>
      <w:r>
        <w:rPr>
          <w:rFonts w:ascii="Arial" w:hAnsi="Arial" w:cs="Arial"/>
          <w:sz w:val="28"/>
        </w:rPr>
        <w:t xml:space="preserve"> </w:t>
      </w:r>
      <w:r w:rsidRPr="00F61A5D">
        <w:rPr>
          <w:rFonts w:ascii="Arial" w:hAnsi="Arial" w:cs="Arial"/>
          <w:sz w:val="28"/>
        </w:rPr>
        <w:t>za 201</w:t>
      </w:r>
      <w:r w:rsidR="0005061D">
        <w:rPr>
          <w:rFonts w:ascii="Arial" w:hAnsi="Arial" w:cs="Arial"/>
          <w:sz w:val="28"/>
        </w:rPr>
        <w:t>6</w:t>
      </w:r>
      <w:r w:rsidRPr="00F61A5D">
        <w:rPr>
          <w:rFonts w:ascii="Arial" w:hAnsi="Arial" w:cs="Arial"/>
          <w:sz w:val="28"/>
        </w:rPr>
        <w:t xml:space="preserve"> r.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16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>Komisja Indywidualnych Praktyk Lekarskich działa na podstawie uchwały ORL nr 180/2009 z dnia 13.12.2009 r. i</w:t>
      </w:r>
      <w:r w:rsidR="00ED7036">
        <w:rPr>
          <w:rFonts w:ascii="Arial" w:hAnsi="Arial" w:cs="Arial"/>
          <w:b w:val="0"/>
          <w:bCs/>
          <w:i w:val="0"/>
          <w:iCs/>
          <w:u w:val="none"/>
        </w:rPr>
        <w:t xml:space="preserve"> kierowana jest przez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Pr="00F61A5D">
        <w:rPr>
          <w:rFonts w:ascii="Arial" w:hAnsi="Arial" w:cs="Arial"/>
          <w:i w:val="0"/>
          <w:iCs/>
          <w:u w:val="none"/>
        </w:rPr>
        <w:t>dr Stanisław Schneider</w:t>
      </w:r>
      <w:r w:rsidR="00ED7036">
        <w:rPr>
          <w:rFonts w:ascii="Arial" w:hAnsi="Arial" w:cs="Arial"/>
          <w:i w:val="0"/>
          <w:iCs/>
          <w:u w:val="none"/>
        </w:rPr>
        <w:t>a</w:t>
      </w:r>
      <w:r w:rsidRPr="00F61A5D">
        <w:rPr>
          <w:rFonts w:ascii="Arial" w:hAnsi="Arial" w:cs="Arial"/>
          <w:i w:val="0"/>
          <w:iCs/>
          <w:u w:val="none"/>
        </w:rPr>
        <w:t>.</w:t>
      </w:r>
    </w:p>
    <w:p w:rsidR="00BC666E" w:rsidRDefault="00ED7036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Głównym zadaniem </w:t>
      </w:r>
      <w:r w:rsidR="00B67D8B">
        <w:rPr>
          <w:rFonts w:ascii="Arial" w:hAnsi="Arial" w:cs="Arial"/>
          <w:b w:val="0"/>
          <w:bCs/>
          <w:i w:val="0"/>
          <w:iCs/>
          <w:u w:val="none"/>
        </w:rPr>
        <w:t>Komisji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jest prowadzenie Rejestru Praktyk Lekarskich, który jest częścią opisanego w Ustawie o działalności leczniczej</w:t>
      </w:r>
      <w:r w:rsidR="00B67D8B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Rejestru Podmiotów Wykonujących Działalność Leczniczą (RPWDL). Komisja sprawuję również bieżący nadzór nad działalnością praktyk. Podczas sprawozdawanego roku nie musiała interweniować, gdyż nie zgłaszano nieprawidłowości w indywidualnych praktykach prowadzonych na terenie naszej izby.</w:t>
      </w:r>
      <w:r w:rsidR="00833DAF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</w:p>
    <w:p w:rsidR="00833DAF" w:rsidRDefault="00833DAF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Komisja informowała za pomocą naszych mediów (Biuletyn Informacyjny i strona internetowa) o zmianach przepisów i obowiązkach lekarzy prowadzących praktyki.</w:t>
      </w:r>
      <w:r w:rsidR="002B6973">
        <w:rPr>
          <w:rFonts w:ascii="Arial" w:hAnsi="Arial" w:cs="Arial"/>
          <w:b w:val="0"/>
          <w:bCs/>
          <w:i w:val="0"/>
          <w:iCs/>
          <w:u w:val="none"/>
        </w:rPr>
        <w:t xml:space="preserve"> Od 15 lipca 2016r. zmieniła się Ustawa o działalności leczniczej i zmiany w niej wprowadziły rejestrację praktyk lekarskich bez decyzji Sanepidu. Komisja ustaliła więc zasady racjonalnej współpracy z organem uprawnionym do kontroli gabinetów czyli Powiatową Stacją </w:t>
      </w:r>
      <w:proofErr w:type="spellStart"/>
      <w:r w:rsidR="002B6973">
        <w:rPr>
          <w:rFonts w:ascii="Arial" w:hAnsi="Arial" w:cs="Arial"/>
          <w:b w:val="0"/>
          <w:bCs/>
          <w:i w:val="0"/>
          <w:iCs/>
          <w:u w:val="none"/>
        </w:rPr>
        <w:t>Sanita</w:t>
      </w:r>
      <w:bookmarkStart w:id="0" w:name="_GoBack"/>
      <w:bookmarkEnd w:id="0"/>
      <w:r w:rsidR="002B6973">
        <w:rPr>
          <w:rFonts w:ascii="Arial" w:hAnsi="Arial" w:cs="Arial"/>
          <w:b w:val="0"/>
          <w:bCs/>
          <w:i w:val="0"/>
          <w:iCs/>
          <w:u w:val="none"/>
        </w:rPr>
        <w:t>rno</w:t>
      </w:r>
      <w:proofErr w:type="spellEnd"/>
      <w:r w:rsidR="002B6973">
        <w:rPr>
          <w:rFonts w:ascii="Arial" w:hAnsi="Arial" w:cs="Arial"/>
          <w:b w:val="0"/>
          <w:bCs/>
          <w:i w:val="0"/>
          <w:iCs/>
          <w:u w:val="none"/>
        </w:rPr>
        <w:t xml:space="preserve"> Epidemiologiczną </w:t>
      </w:r>
    </w:p>
    <w:p w:rsidR="00F12BE4" w:rsidRDefault="00AE6B98" w:rsidP="00F12BE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Rejestracja indywidualnych praktyk prywatnych odbywa się na podstawie wniosku lekarza przesłanego drogą elektroniczną, jak również na podstawie wniosku złożonego w formie pisemnej.</w:t>
      </w:r>
      <w:r w:rsidR="00833DAF">
        <w:rPr>
          <w:rFonts w:ascii="Arial" w:hAnsi="Arial" w:cs="Arial"/>
          <w:b w:val="0"/>
          <w:bCs/>
          <w:i w:val="0"/>
          <w:iCs/>
          <w:u w:val="none"/>
        </w:rPr>
        <w:t xml:space="preserve"> Oprócz nowo rejestrowanych praktyk, najwięcej jest zm</w:t>
      </w:r>
      <w:r w:rsidR="00F12BE4" w:rsidRPr="00AC20AB">
        <w:rPr>
          <w:rFonts w:ascii="Arial" w:hAnsi="Arial" w:cs="Arial"/>
          <w:b w:val="0"/>
          <w:bCs/>
          <w:i w:val="0"/>
          <w:iCs/>
          <w:u w:val="none"/>
        </w:rPr>
        <w:t>ian w rejestrze</w:t>
      </w:r>
      <w:r w:rsidR="00833DAF">
        <w:rPr>
          <w:rFonts w:ascii="Arial" w:hAnsi="Arial" w:cs="Arial"/>
          <w:b w:val="0"/>
          <w:bCs/>
          <w:i w:val="0"/>
          <w:iCs/>
          <w:u w:val="none"/>
        </w:rPr>
        <w:t xml:space="preserve">  i dotyczą one </w:t>
      </w:r>
      <w:r w:rsidR="00F12BE4" w:rsidRPr="00AC20AB">
        <w:rPr>
          <w:rFonts w:ascii="Arial" w:hAnsi="Arial" w:cs="Arial"/>
          <w:b w:val="0"/>
          <w:bCs/>
          <w:i w:val="0"/>
          <w:iCs/>
          <w:u w:val="none"/>
        </w:rPr>
        <w:t>przede wszystkim tych lekarzy, którzy jako praktyka lekarska zawarli ze szpitalem, przychodnią itp. kontrakt, czyli umowę cywilnoprawną o świadczenie usług na terenie tej placówki.</w:t>
      </w:r>
      <w:r w:rsidR="0007168A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833DAF">
        <w:rPr>
          <w:rFonts w:ascii="Arial" w:hAnsi="Arial" w:cs="Arial"/>
          <w:b w:val="0"/>
          <w:bCs/>
          <w:i w:val="0"/>
          <w:iCs/>
          <w:u w:val="none"/>
        </w:rPr>
        <w:t>Miejsca tzw. kontraktów często ulegają zmianie, dochodzą kolejne miejsca i adresy placówek, a co za tym idzie muszą ulec zmianie wpisy w księgach rejestrowych.</w:t>
      </w:r>
    </w:p>
    <w:p w:rsidR="00CA4F50" w:rsidRDefault="00CA4F50" w:rsidP="00415368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Łącznie w 201</w:t>
      </w:r>
      <w:r w:rsidR="00833DAF">
        <w:rPr>
          <w:rFonts w:ascii="Arial" w:hAnsi="Arial" w:cs="Arial"/>
          <w:b w:val="0"/>
          <w:bCs/>
          <w:i w:val="0"/>
          <w:iCs/>
          <w:u w:val="none"/>
        </w:rPr>
        <w:t>6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roku złożono</w:t>
      </w:r>
      <w:r w:rsidR="003612F1">
        <w:rPr>
          <w:rFonts w:ascii="Arial" w:hAnsi="Arial" w:cs="Arial"/>
          <w:b w:val="0"/>
          <w:bCs/>
          <w:i w:val="0"/>
          <w:iCs/>
          <w:u w:val="none"/>
        </w:rPr>
        <w:t xml:space="preserve"> do Wielkopolskiej Izby Lekarskiej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0F0AED">
        <w:rPr>
          <w:rFonts w:ascii="Arial" w:hAnsi="Arial" w:cs="Arial"/>
          <w:bCs/>
          <w:i w:val="0"/>
          <w:iCs/>
          <w:u w:val="none"/>
        </w:rPr>
        <w:t xml:space="preserve">2 </w:t>
      </w:r>
      <w:r w:rsidR="00AC0BFE">
        <w:rPr>
          <w:rFonts w:ascii="Arial" w:hAnsi="Arial" w:cs="Arial"/>
          <w:bCs/>
          <w:i w:val="0"/>
          <w:iCs/>
          <w:u w:val="none"/>
        </w:rPr>
        <w:t>749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wniosków o wpis do rejestru i zmianę wpisu. Dokonano: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AC0BFE" w:rsidRPr="00AC0BFE">
        <w:rPr>
          <w:rFonts w:ascii="Arial" w:hAnsi="Arial" w:cs="Arial"/>
          <w:bCs/>
          <w:i w:val="0"/>
          <w:iCs/>
          <w:u w:val="none"/>
        </w:rPr>
        <w:t>2 611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wpisów do rejestru i zmian wpisu,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Cs/>
          <w:i w:val="0"/>
          <w:iCs/>
          <w:u w:val="none"/>
        </w:rPr>
        <w:t xml:space="preserve">88 </w:t>
      </w:r>
      <w:r>
        <w:rPr>
          <w:rFonts w:ascii="Arial" w:hAnsi="Arial" w:cs="Arial"/>
          <w:b w:val="0"/>
          <w:bCs/>
          <w:i w:val="0"/>
          <w:iCs/>
          <w:u w:val="none"/>
        </w:rPr>
        <w:t>wykreśleń praktyk z rejestru,</w:t>
      </w: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Wg. stanu na dzień </w:t>
      </w:r>
      <w:r w:rsidR="00AC0BFE">
        <w:rPr>
          <w:rFonts w:ascii="Arial" w:hAnsi="Arial" w:cs="Arial"/>
          <w:b w:val="0"/>
          <w:bCs/>
          <w:i w:val="0"/>
          <w:iCs/>
          <w:u w:val="none"/>
        </w:rPr>
        <w:t xml:space="preserve"> 31.12.2016</w:t>
      </w:r>
      <w:r w:rsidR="00D91D33">
        <w:rPr>
          <w:rFonts w:ascii="Arial" w:hAnsi="Arial" w:cs="Arial"/>
          <w:b w:val="0"/>
          <w:bCs/>
          <w:i w:val="0"/>
          <w:iCs/>
          <w:u w:val="none"/>
        </w:rPr>
        <w:t xml:space="preserve"> r. w Wielkopolskiej Izbie Lekarskiej zarejestrowano: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A70A29">
        <w:rPr>
          <w:rFonts w:ascii="Arial" w:hAnsi="Arial" w:cs="Arial"/>
          <w:bCs/>
          <w:i w:val="0"/>
          <w:iCs/>
          <w:u w:val="none"/>
        </w:rPr>
        <w:t>792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 miejscu wezwania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 w:rsidR="00A70A29">
        <w:rPr>
          <w:rFonts w:ascii="Arial" w:hAnsi="Arial" w:cs="Arial"/>
          <w:bCs/>
          <w:i w:val="0"/>
          <w:iCs/>
          <w:u w:val="none"/>
        </w:rPr>
        <w:t xml:space="preserve"> 1290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 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>przedsiębiorstwie podmiotu leczniczego</w:t>
      </w: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Cs/>
          <w:i w:val="0"/>
          <w:iCs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A70A29">
        <w:rPr>
          <w:rFonts w:ascii="Arial" w:hAnsi="Arial" w:cs="Arial"/>
          <w:bCs/>
          <w:i w:val="0"/>
          <w:iCs/>
          <w:u w:val="none"/>
        </w:rPr>
        <w:t>1574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praktyk lekarskich</w:t>
      </w:r>
    </w:p>
    <w:p w:rsidR="00630934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lastRenderedPageBreak/>
        <w:t xml:space="preserve">          - </w:t>
      </w:r>
      <w:r w:rsidR="00A70A29">
        <w:rPr>
          <w:rFonts w:ascii="Arial" w:hAnsi="Arial" w:cs="Arial"/>
          <w:bCs/>
          <w:i w:val="0"/>
          <w:iCs/>
          <w:u w:val="none"/>
        </w:rPr>
        <w:t>2127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– indywidualnych specjalistycznych praktyk </w:t>
      </w:r>
      <w:r w:rsidR="0007168A">
        <w:rPr>
          <w:rFonts w:ascii="Arial" w:hAnsi="Arial" w:cs="Arial"/>
          <w:b w:val="0"/>
          <w:bCs/>
          <w:i w:val="0"/>
          <w:iCs/>
          <w:u w:val="none"/>
        </w:rPr>
        <w:t>lekarskich wyłącznie w przedsiębiorstwie podmiotu leczniczego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- </w:t>
      </w:r>
      <w:r w:rsidR="00A70A29">
        <w:rPr>
          <w:rFonts w:ascii="Arial" w:hAnsi="Arial" w:cs="Arial"/>
          <w:bCs/>
          <w:i w:val="0"/>
          <w:iCs/>
          <w:u w:val="none"/>
        </w:rPr>
        <w:t>1</w:t>
      </w:r>
      <w:r>
        <w:rPr>
          <w:rFonts w:ascii="Arial" w:hAnsi="Arial" w:cs="Arial"/>
          <w:bCs/>
          <w:i w:val="0"/>
          <w:iCs/>
          <w:u w:val="none"/>
        </w:rPr>
        <w:t>4</w:t>
      </w:r>
      <w:r w:rsidR="00A70A29">
        <w:rPr>
          <w:rFonts w:ascii="Arial" w:hAnsi="Arial" w:cs="Arial"/>
          <w:bCs/>
          <w:i w:val="0"/>
          <w:iCs/>
          <w:u w:val="none"/>
        </w:rPr>
        <w:t>21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specjalistycznych praktyk wyłącznie w miejscu wezwania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A70A29">
        <w:rPr>
          <w:rFonts w:ascii="Arial" w:hAnsi="Arial" w:cs="Arial"/>
          <w:bCs/>
          <w:i w:val="0"/>
          <w:iCs/>
          <w:u w:val="none"/>
        </w:rPr>
        <w:t>4396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Pr="0007168A">
        <w:rPr>
          <w:rFonts w:ascii="Arial" w:hAnsi="Arial" w:cs="Arial"/>
          <w:b w:val="0"/>
          <w:bCs/>
          <w:i w:val="0"/>
          <w:iCs/>
          <w:u w:val="none"/>
        </w:rPr>
        <w:t>– specjalistycznych praktyk lekarskich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A70A29">
        <w:rPr>
          <w:rFonts w:ascii="Arial" w:hAnsi="Arial" w:cs="Arial"/>
          <w:bCs/>
          <w:i w:val="0"/>
          <w:iCs/>
          <w:u w:val="none"/>
        </w:rPr>
        <w:t>59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grupowych praktyk lekarskich wykonywanych w formie spółki cywilnej, jawnej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 albo spółki partnerskiej</w:t>
      </w:r>
    </w:p>
    <w:p w:rsidR="0016397F" w:rsidRPr="0016397F" w:rsidRDefault="00833DAF" w:rsidP="0016397F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W trosce o rzetelność danych i aktualność rejestru lekarzy, od początku istnienia RPWDL </w:t>
      </w:r>
      <w:r w:rsidR="000F0AED">
        <w:rPr>
          <w:rFonts w:ascii="Arial" w:hAnsi="Arial" w:cs="Arial"/>
          <w:b w:val="0"/>
          <w:bCs/>
          <w:i w:val="0"/>
          <w:iCs/>
          <w:u w:val="none"/>
        </w:rPr>
        <w:t>prowadzony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jest rejestr praktyk w dwóch równoległych systemach – w</w:t>
      </w:r>
      <w:r w:rsidR="000F0AED">
        <w:rPr>
          <w:rFonts w:ascii="Arial" w:hAnsi="Arial" w:cs="Arial"/>
          <w:b w:val="0"/>
          <w:bCs/>
          <w:i w:val="0"/>
          <w:iCs/>
          <w:u w:val="none"/>
        </w:rPr>
        <w:t xml:space="preserve"> RPWDL i systemie rejestrowym lekarzy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0F0AED">
        <w:rPr>
          <w:rFonts w:ascii="Arial" w:hAnsi="Arial" w:cs="Arial"/>
          <w:b w:val="0"/>
          <w:bCs/>
          <w:i w:val="0"/>
          <w:iCs/>
          <w:u w:val="none"/>
        </w:rPr>
        <w:t>FINN w którym to potwierdzana jest data ostatniego potwierdzenia wykonywania zawodu.</w:t>
      </w:r>
    </w:p>
    <w:p w:rsidR="0062641A" w:rsidRPr="00F61A5D" w:rsidRDefault="0062641A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Wszystkie dane dotyczące miejsca zatrudnienia, zamieszkania, specjalizacji oraz płatności składek na rzecz Izby - przy okazji </w:t>
      </w:r>
      <w:r w:rsidR="00644480">
        <w:rPr>
          <w:rFonts w:ascii="Arial" w:hAnsi="Arial" w:cs="Arial"/>
          <w:b w:val="0"/>
          <w:bCs/>
          <w:i w:val="0"/>
          <w:iCs/>
          <w:u w:val="none"/>
        </w:rPr>
        <w:t>zmian w rejestrze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 praktyk przez lekarzy i załatwiania spraw związanych z tą procedurą są sprawdzane i uzupełniane.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>Przewodniczący Komisji Praktyk Lekarskich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lek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dent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Stanisław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 Schneider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350F2F" w:rsidRDefault="00350F2F"/>
    <w:sectPr w:rsidR="00350F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A"/>
    <w:rsid w:val="000324BD"/>
    <w:rsid w:val="0005061D"/>
    <w:rsid w:val="00066AE0"/>
    <w:rsid w:val="0007168A"/>
    <w:rsid w:val="000F0AED"/>
    <w:rsid w:val="0016397F"/>
    <w:rsid w:val="002B6973"/>
    <w:rsid w:val="003479AE"/>
    <w:rsid w:val="00350F2F"/>
    <w:rsid w:val="003612F1"/>
    <w:rsid w:val="00415368"/>
    <w:rsid w:val="004F3D2A"/>
    <w:rsid w:val="00526D2C"/>
    <w:rsid w:val="0056465F"/>
    <w:rsid w:val="00581896"/>
    <w:rsid w:val="005C2742"/>
    <w:rsid w:val="0062641A"/>
    <w:rsid w:val="00630934"/>
    <w:rsid w:val="006433A1"/>
    <w:rsid w:val="00644480"/>
    <w:rsid w:val="00665181"/>
    <w:rsid w:val="006B2B2A"/>
    <w:rsid w:val="00716C41"/>
    <w:rsid w:val="00833DAF"/>
    <w:rsid w:val="00985258"/>
    <w:rsid w:val="009F4F71"/>
    <w:rsid w:val="00A70A29"/>
    <w:rsid w:val="00AC0BFE"/>
    <w:rsid w:val="00AC20AB"/>
    <w:rsid w:val="00AE6B98"/>
    <w:rsid w:val="00B37F5C"/>
    <w:rsid w:val="00B4055F"/>
    <w:rsid w:val="00B67D8B"/>
    <w:rsid w:val="00BC666E"/>
    <w:rsid w:val="00C4409B"/>
    <w:rsid w:val="00C55E6B"/>
    <w:rsid w:val="00C80F0D"/>
    <w:rsid w:val="00CA4F50"/>
    <w:rsid w:val="00CD6A87"/>
    <w:rsid w:val="00D32F77"/>
    <w:rsid w:val="00D91D33"/>
    <w:rsid w:val="00E02FC6"/>
    <w:rsid w:val="00E17A75"/>
    <w:rsid w:val="00ED7036"/>
    <w:rsid w:val="00F12BE4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679B-9CD3-40CC-BF0D-C7BB1A1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HSmigielska</dc:creator>
  <cp:keywords/>
  <dc:description/>
  <cp:lastModifiedBy>Hanna Śmigielska</cp:lastModifiedBy>
  <cp:revision>8</cp:revision>
  <cp:lastPrinted>2017-01-31T12:02:00Z</cp:lastPrinted>
  <dcterms:created xsi:type="dcterms:W3CDTF">2014-03-25T12:19:00Z</dcterms:created>
  <dcterms:modified xsi:type="dcterms:W3CDTF">2017-02-01T07:46:00Z</dcterms:modified>
</cp:coreProperties>
</file>